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DE0" w:rsidRDefault="00F71DE0" w:rsidP="00F71DE0">
      <w:pPr>
        <w:pStyle w:val="3"/>
        <w:keepNext w:val="0"/>
        <w:widowControl w:val="0"/>
        <w:tabs>
          <w:tab w:val="clear" w:pos="312"/>
        </w:tabs>
        <w:spacing w:before="0" w:after="0"/>
        <w:ind w:left="11199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Приложение</w:t>
      </w:r>
      <w:r w:rsidRPr="00EA0A3B">
        <w:rPr>
          <w:rFonts w:ascii="Times New Roman" w:hAnsi="Times New Roman" w:cs="Times New Roman"/>
          <w:b w:val="0"/>
        </w:rPr>
        <w:t xml:space="preserve"> </w:t>
      </w:r>
    </w:p>
    <w:p w:rsidR="00F71DE0" w:rsidRPr="00EA0A3B" w:rsidRDefault="00F71DE0" w:rsidP="00F71DE0">
      <w:pPr>
        <w:pStyle w:val="3"/>
        <w:keepNext w:val="0"/>
        <w:widowControl w:val="0"/>
        <w:tabs>
          <w:tab w:val="clear" w:pos="312"/>
        </w:tabs>
        <w:spacing w:before="0" w:after="0"/>
        <w:ind w:left="11199"/>
        <w:rPr>
          <w:rFonts w:ascii="Times New Roman" w:hAnsi="Times New Roman" w:cs="Times New Roman"/>
          <w:b w:val="0"/>
        </w:rPr>
      </w:pPr>
      <w:r w:rsidRPr="00EA0A3B">
        <w:rPr>
          <w:rFonts w:ascii="Times New Roman" w:hAnsi="Times New Roman" w:cs="Times New Roman"/>
          <w:b w:val="0"/>
        </w:rPr>
        <w:t xml:space="preserve">к </w:t>
      </w:r>
      <w:r>
        <w:rPr>
          <w:rFonts w:ascii="Times New Roman" w:hAnsi="Times New Roman" w:cs="Times New Roman"/>
          <w:b w:val="0"/>
        </w:rPr>
        <w:t>закупочной документации</w:t>
      </w:r>
      <w:r w:rsidRPr="00EA0A3B">
        <w:rPr>
          <w:rFonts w:ascii="Times New Roman" w:hAnsi="Times New Roman" w:cs="Times New Roman"/>
          <w:b w:val="0"/>
        </w:rPr>
        <w:t xml:space="preserve"> </w:t>
      </w:r>
    </w:p>
    <w:p w:rsidR="00F71DE0" w:rsidRPr="00525C9F" w:rsidRDefault="00F71DE0" w:rsidP="00F71DE0">
      <w:pPr>
        <w:pStyle w:val="3"/>
        <w:keepNext w:val="0"/>
        <w:widowControl w:val="0"/>
        <w:tabs>
          <w:tab w:val="clear" w:pos="312"/>
        </w:tabs>
        <w:spacing w:before="0" w:after="0"/>
        <w:ind w:left="576"/>
        <w:rPr>
          <w:rFonts w:ascii="Times New Roman" w:hAnsi="Times New Roman" w:cs="Times New Roman"/>
          <w:sz w:val="10"/>
          <w:szCs w:val="10"/>
        </w:rPr>
      </w:pPr>
    </w:p>
    <w:p w:rsidR="00F71DE0" w:rsidRPr="00EA0A3B" w:rsidRDefault="00F71DE0" w:rsidP="00F71DE0">
      <w:pPr>
        <w:pStyle w:val="3"/>
        <w:keepNext w:val="0"/>
        <w:widowControl w:val="0"/>
        <w:tabs>
          <w:tab w:val="clear" w:pos="312"/>
        </w:tabs>
        <w:spacing w:before="0" w:after="0"/>
        <w:ind w:left="0"/>
        <w:jc w:val="center"/>
        <w:rPr>
          <w:rFonts w:ascii="Times New Roman" w:hAnsi="Times New Roman"/>
        </w:rPr>
      </w:pPr>
      <w:r w:rsidRPr="00EA0A3B">
        <w:rPr>
          <w:rFonts w:ascii="Times New Roman" w:hAnsi="Times New Roman"/>
        </w:rPr>
        <w:t>Требования к дополнительному обеспечению исполнения обязательств по договору, заключаемому по итогам закупочных процедур с участником - победителем, предоставившим заявку с аномально низкой ценой</w:t>
      </w:r>
      <w:r w:rsidRPr="00EA0A3B" w:rsidDel="00BB7CF6">
        <w:rPr>
          <w:rFonts w:ascii="Times New Roman" w:hAnsi="Times New Roman"/>
        </w:rPr>
        <w:t xml:space="preserve"> </w:t>
      </w:r>
    </w:p>
    <w:p w:rsidR="00F71DE0" w:rsidRPr="00525C9F" w:rsidRDefault="00F71DE0" w:rsidP="00F71DE0">
      <w:pPr>
        <w:pStyle w:val="3"/>
        <w:keepNext w:val="0"/>
        <w:widowControl w:val="0"/>
        <w:tabs>
          <w:tab w:val="clear" w:pos="312"/>
        </w:tabs>
        <w:spacing w:before="0" w:after="0"/>
        <w:ind w:left="576"/>
        <w:rPr>
          <w:rFonts w:ascii="Times New Roman" w:hAnsi="Times New Roman" w:cs="Times New Roman"/>
          <w:sz w:val="10"/>
          <w:szCs w:val="10"/>
        </w:rPr>
      </w:pPr>
    </w:p>
    <w:p w:rsidR="00F71DE0" w:rsidRPr="00EA0A3B" w:rsidRDefault="00F71DE0" w:rsidP="00F71DE0">
      <w:pPr>
        <w:pStyle w:val="3"/>
        <w:keepNext w:val="0"/>
        <w:widowControl w:val="0"/>
        <w:numPr>
          <w:ilvl w:val="0"/>
          <w:numId w:val="4"/>
        </w:numPr>
        <w:tabs>
          <w:tab w:val="clear" w:pos="432"/>
        </w:tabs>
        <w:spacing w:before="0" w:after="0"/>
        <w:ind w:left="0" w:firstLine="851"/>
        <w:rPr>
          <w:rFonts w:ascii="Times New Roman" w:hAnsi="Times New Roman" w:cs="Times New Roman"/>
          <w:b w:val="0"/>
        </w:rPr>
      </w:pPr>
      <w:r w:rsidRPr="00EA0A3B">
        <w:rPr>
          <w:rFonts w:ascii="Times New Roman" w:hAnsi="Times New Roman" w:cs="Times New Roman"/>
          <w:b w:val="0"/>
        </w:rPr>
        <w:t>Под аномально низким ценовым предложением</w:t>
      </w:r>
      <w:r>
        <w:rPr>
          <w:rFonts w:ascii="Times New Roman" w:hAnsi="Times New Roman" w:cs="Times New Roman"/>
          <w:b w:val="0"/>
        </w:rPr>
        <w:t xml:space="preserve"> (демпинговой ценой)</w:t>
      </w:r>
      <w:r w:rsidRPr="00EA0A3B">
        <w:rPr>
          <w:rFonts w:ascii="Times New Roman" w:hAnsi="Times New Roman" w:cs="Times New Roman"/>
          <w:b w:val="0"/>
        </w:rPr>
        <w:t xml:space="preserve"> понимается снижение цены участником закупки относительно начальной (максимальной) цены договора, указанной в извещении и/или документации о закупке на 25 (двадцать пять) и более процентов.</w:t>
      </w:r>
    </w:p>
    <w:p w:rsidR="00F71DE0" w:rsidRPr="00EA0A3B" w:rsidRDefault="00F71DE0" w:rsidP="00F71DE0">
      <w:pPr>
        <w:pStyle w:val="3"/>
        <w:keepNext w:val="0"/>
        <w:widowControl w:val="0"/>
        <w:numPr>
          <w:ilvl w:val="0"/>
          <w:numId w:val="4"/>
        </w:numPr>
        <w:tabs>
          <w:tab w:val="clear" w:pos="432"/>
        </w:tabs>
        <w:spacing w:before="0" w:after="0"/>
        <w:ind w:left="0" w:firstLine="851"/>
        <w:rPr>
          <w:rFonts w:ascii="Times New Roman" w:hAnsi="Times New Roman" w:cs="Times New Roman"/>
          <w:b w:val="0"/>
        </w:rPr>
      </w:pPr>
      <w:bookmarkStart w:id="0" w:name="_Ref4407664"/>
      <w:bookmarkStart w:id="1" w:name="_Ref536100021"/>
      <w:r w:rsidRPr="00EA0A3B">
        <w:rPr>
          <w:rFonts w:ascii="Times New Roman" w:hAnsi="Times New Roman" w:cs="Times New Roman"/>
          <w:b w:val="0"/>
        </w:rPr>
        <w:t>В случае если при проведении закупки победителем (либо единственным участником, признанным соответствующим требованиям извещения и/или документации о закупке) признается участник, предложивший аномально низкое ценовое предложение</w:t>
      </w:r>
      <w:r>
        <w:rPr>
          <w:rFonts w:ascii="Times New Roman" w:hAnsi="Times New Roman" w:cs="Times New Roman"/>
          <w:b w:val="0"/>
        </w:rPr>
        <w:t xml:space="preserve"> (демпинговую цену)</w:t>
      </w:r>
      <w:r w:rsidRPr="00EA0A3B">
        <w:rPr>
          <w:rFonts w:ascii="Times New Roman" w:hAnsi="Times New Roman" w:cs="Times New Roman"/>
          <w:b w:val="0"/>
        </w:rPr>
        <w:t>, таким участником до заключения договора должно быть предоставлено обеспечение исполнения обязательств по договору в следующем размере:</w:t>
      </w:r>
      <w:bookmarkEnd w:id="0"/>
    </w:p>
    <w:p w:rsidR="00F71DE0" w:rsidRPr="00525C9F" w:rsidRDefault="00F71DE0" w:rsidP="00F71DE0">
      <w:pPr>
        <w:ind w:firstLine="851"/>
        <w:rPr>
          <w:i/>
          <w:sz w:val="10"/>
          <w:szCs w:val="10"/>
        </w:rPr>
      </w:pPr>
    </w:p>
    <w:tbl>
      <w:tblPr>
        <w:tblStyle w:val="aa"/>
        <w:tblW w:w="1448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84"/>
        <w:gridCol w:w="2551"/>
        <w:gridCol w:w="1984"/>
        <w:gridCol w:w="3119"/>
        <w:gridCol w:w="6549"/>
      </w:tblGrid>
      <w:tr w:rsidR="00F71DE0" w:rsidRPr="00EA0A3B" w:rsidTr="00881DFD">
        <w:tc>
          <w:tcPr>
            <w:tcW w:w="284" w:type="dxa"/>
            <w:vMerge w:val="restart"/>
            <w:shd w:val="clear" w:color="auto" w:fill="DEEAF6" w:themeFill="accent1" w:themeFillTint="33"/>
          </w:tcPr>
          <w:p w:rsidR="00F71DE0" w:rsidRPr="00EA0A3B" w:rsidRDefault="00F71DE0" w:rsidP="00881DFD">
            <w:pPr>
              <w:spacing w:after="0"/>
              <w:rPr>
                <w:b/>
                <w:sz w:val="20"/>
                <w:szCs w:val="20"/>
              </w:rPr>
            </w:pPr>
          </w:p>
          <w:p w:rsidR="00F71DE0" w:rsidRPr="00EA0A3B" w:rsidRDefault="00F71DE0" w:rsidP="00881DFD">
            <w:pPr>
              <w:spacing w:after="0"/>
              <w:rPr>
                <w:b/>
                <w:sz w:val="20"/>
                <w:szCs w:val="20"/>
              </w:rPr>
            </w:pPr>
          </w:p>
          <w:p w:rsidR="00F71DE0" w:rsidRPr="00EA0A3B" w:rsidRDefault="00F71DE0" w:rsidP="00881DFD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7654" w:type="dxa"/>
            <w:gridSpan w:val="3"/>
            <w:shd w:val="clear" w:color="auto" w:fill="DEEAF6" w:themeFill="accent1" w:themeFillTint="33"/>
          </w:tcPr>
          <w:p w:rsidR="00F71DE0" w:rsidRPr="00EA0A3B" w:rsidRDefault="00F71DE0" w:rsidP="00881DFD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EA0A3B">
              <w:rPr>
                <w:b/>
                <w:sz w:val="20"/>
                <w:szCs w:val="20"/>
              </w:rPr>
              <w:t xml:space="preserve">Матрица договорных условий </w:t>
            </w:r>
          </w:p>
          <w:p w:rsidR="00F71DE0" w:rsidRPr="00EA0A3B" w:rsidRDefault="00F71DE0" w:rsidP="00881DFD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49" w:type="dxa"/>
            <w:vMerge w:val="restart"/>
            <w:shd w:val="clear" w:color="auto" w:fill="DEEAF6" w:themeFill="accent1" w:themeFillTint="33"/>
          </w:tcPr>
          <w:p w:rsidR="00F71DE0" w:rsidRPr="00EA0A3B" w:rsidRDefault="00F71DE0" w:rsidP="00881DFD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  <w:p w:rsidR="00F71DE0" w:rsidRPr="00EA0A3B" w:rsidRDefault="00F71DE0" w:rsidP="00A620F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EA0A3B">
              <w:rPr>
                <w:b/>
                <w:sz w:val="20"/>
                <w:szCs w:val="20"/>
              </w:rPr>
              <w:t xml:space="preserve">Требуемый </w:t>
            </w:r>
            <w:r w:rsidRPr="00D44112">
              <w:rPr>
                <w:b/>
                <w:sz w:val="20"/>
                <w:szCs w:val="20"/>
              </w:rPr>
              <w:t>размер обеспечения (в виде независимой гарантии</w:t>
            </w:r>
            <w:r w:rsidR="00A620F8" w:rsidRPr="00D44112">
              <w:rPr>
                <w:b/>
                <w:sz w:val="20"/>
                <w:szCs w:val="20"/>
              </w:rPr>
              <w:t xml:space="preserve">, </w:t>
            </w:r>
            <w:r w:rsidRPr="00D44112">
              <w:rPr>
                <w:b/>
                <w:sz w:val="20"/>
                <w:szCs w:val="20"/>
              </w:rPr>
              <w:t>обеспечительного платежа</w:t>
            </w:r>
            <w:r w:rsidR="00A620F8" w:rsidRPr="00D44112">
              <w:rPr>
                <w:b/>
                <w:sz w:val="20"/>
                <w:szCs w:val="20"/>
              </w:rPr>
              <w:t xml:space="preserve"> либо иного способа обеспечения, предусмотренного проектом Договора</w:t>
            </w:r>
            <w:r w:rsidRPr="00D44112">
              <w:rPr>
                <w:b/>
                <w:sz w:val="20"/>
                <w:szCs w:val="20"/>
              </w:rPr>
              <w:t xml:space="preserve"> на исполнение обязательств по договору</w:t>
            </w:r>
            <w:r w:rsidRPr="00EA0A3B">
              <w:rPr>
                <w:b/>
                <w:sz w:val="20"/>
                <w:szCs w:val="20"/>
              </w:rPr>
              <w:t xml:space="preserve">) </w:t>
            </w:r>
          </w:p>
        </w:tc>
      </w:tr>
      <w:tr w:rsidR="00F71DE0" w:rsidRPr="00EA0A3B" w:rsidTr="00881DFD">
        <w:trPr>
          <w:trHeight w:val="77"/>
        </w:trPr>
        <w:tc>
          <w:tcPr>
            <w:tcW w:w="284" w:type="dxa"/>
            <w:vMerge/>
          </w:tcPr>
          <w:p w:rsidR="00F71DE0" w:rsidRPr="00EA0A3B" w:rsidRDefault="00F71DE0" w:rsidP="00881DFD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EEAF6" w:themeFill="accent1" w:themeFillTint="33"/>
          </w:tcPr>
          <w:p w:rsidR="00F71DE0" w:rsidRPr="00EA0A3B" w:rsidRDefault="00F71DE0" w:rsidP="00881DFD">
            <w:pPr>
              <w:widowControl w:val="0"/>
              <w:spacing w:after="0"/>
              <w:jc w:val="center"/>
              <w:rPr>
                <w:b/>
                <w:sz w:val="20"/>
                <w:szCs w:val="20"/>
              </w:rPr>
            </w:pPr>
            <w:r w:rsidRPr="00EA0A3B">
              <w:rPr>
                <w:b/>
                <w:sz w:val="20"/>
                <w:szCs w:val="20"/>
              </w:rPr>
              <w:t xml:space="preserve">Предоставление обеспечения исполнения обязательств по договору 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:rsidR="00F71DE0" w:rsidRPr="00EA0A3B" w:rsidRDefault="00F71DE0" w:rsidP="00881DFD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EA0A3B">
              <w:rPr>
                <w:b/>
                <w:sz w:val="20"/>
                <w:szCs w:val="20"/>
              </w:rPr>
              <w:t xml:space="preserve">Авансирование </w:t>
            </w:r>
          </w:p>
        </w:tc>
        <w:tc>
          <w:tcPr>
            <w:tcW w:w="3119" w:type="dxa"/>
            <w:shd w:val="clear" w:color="auto" w:fill="DEEAF6" w:themeFill="accent1" w:themeFillTint="33"/>
          </w:tcPr>
          <w:p w:rsidR="00F71DE0" w:rsidRPr="00EA0A3B" w:rsidRDefault="00F71DE0" w:rsidP="00881DFD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EA0A3B">
              <w:rPr>
                <w:b/>
                <w:sz w:val="20"/>
                <w:szCs w:val="20"/>
              </w:rPr>
              <w:t>Предоставление обеспечения  возврата авансового платежа</w:t>
            </w:r>
          </w:p>
        </w:tc>
        <w:tc>
          <w:tcPr>
            <w:tcW w:w="6549" w:type="dxa"/>
            <w:vMerge/>
          </w:tcPr>
          <w:p w:rsidR="00F71DE0" w:rsidRPr="00EA0A3B" w:rsidRDefault="00F71DE0" w:rsidP="00881DFD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F71DE0" w:rsidRPr="00EA0A3B" w:rsidTr="00881DFD">
        <w:tc>
          <w:tcPr>
            <w:tcW w:w="284" w:type="dxa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984" w:type="dxa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3119" w:type="dxa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6549" w:type="dxa"/>
            <w:shd w:val="clear" w:color="auto" w:fill="auto"/>
          </w:tcPr>
          <w:p w:rsidR="00F71DE0" w:rsidRDefault="00F71DE0" w:rsidP="00881DFD">
            <w:pPr>
              <w:spacing w:after="0"/>
              <w:jc w:val="left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 xml:space="preserve">обеспечение исполнения обязательств по договору в размере 5% (пять процентов) от начальной (максимальной) цены договора, установленной при объявлении закупки </w:t>
            </w:r>
          </w:p>
          <w:p w:rsidR="00F71DE0" w:rsidRPr="00EA0A3B" w:rsidRDefault="00F71DE0" w:rsidP="00881DFD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F71DE0" w:rsidRPr="00EA0A3B" w:rsidTr="00881DFD">
        <w:tc>
          <w:tcPr>
            <w:tcW w:w="284" w:type="dxa"/>
            <w:shd w:val="clear" w:color="auto" w:fill="auto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предусмотрено</w:t>
            </w:r>
          </w:p>
        </w:tc>
        <w:tc>
          <w:tcPr>
            <w:tcW w:w="1984" w:type="dxa"/>
            <w:shd w:val="clear" w:color="auto" w:fill="auto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3119" w:type="dxa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6549" w:type="dxa"/>
            <w:shd w:val="clear" w:color="auto" w:fill="auto"/>
          </w:tcPr>
          <w:p w:rsidR="00F71DE0" w:rsidRPr="00EA0A3B" w:rsidRDefault="00F71DE0" w:rsidP="00881DFD">
            <w:pPr>
              <w:spacing w:after="0"/>
              <w:jc w:val="left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 xml:space="preserve">увеличенное от первоначально установленного обеспечения исполнения обязательств по договору в 1,5 (полтора) раза, но не менее 5% (пяти процентов) от начальной (максимальной) цены договора </w:t>
            </w:r>
          </w:p>
          <w:p w:rsidR="00F71DE0" w:rsidRPr="00EA0A3B" w:rsidRDefault="00F71DE0" w:rsidP="00881DFD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F71DE0" w:rsidRPr="00EA0A3B" w:rsidTr="00881DFD">
        <w:tc>
          <w:tcPr>
            <w:tcW w:w="284" w:type="dxa"/>
            <w:shd w:val="clear" w:color="auto" w:fill="auto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984" w:type="dxa"/>
            <w:shd w:val="clear" w:color="auto" w:fill="auto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 xml:space="preserve">предусмотрено </w:t>
            </w:r>
          </w:p>
        </w:tc>
        <w:tc>
          <w:tcPr>
            <w:tcW w:w="3119" w:type="dxa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предусмотрено</w:t>
            </w:r>
          </w:p>
        </w:tc>
        <w:tc>
          <w:tcPr>
            <w:tcW w:w="6549" w:type="dxa"/>
            <w:shd w:val="clear" w:color="auto" w:fill="auto"/>
          </w:tcPr>
          <w:p w:rsidR="00F71DE0" w:rsidRPr="00EA0A3B" w:rsidRDefault="00F71DE0" w:rsidP="00881DFD">
            <w:pPr>
              <w:spacing w:after="0"/>
              <w:jc w:val="left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 xml:space="preserve">обеспечение исполнения договора в размере аванса, но не менее 5% (пяти процентов) от начальной (максимальной) цены договора </w:t>
            </w:r>
          </w:p>
          <w:p w:rsidR="00F71DE0" w:rsidRPr="00EA0A3B" w:rsidRDefault="00F71DE0" w:rsidP="00881DFD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F71DE0" w:rsidRPr="00EA0A3B" w:rsidTr="00881DFD">
        <w:tc>
          <w:tcPr>
            <w:tcW w:w="284" w:type="dxa"/>
            <w:shd w:val="clear" w:color="auto" w:fill="auto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984" w:type="dxa"/>
            <w:shd w:val="clear" w:color="auto" w:fill="auto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предусмотрено</w:t>
            </w:r>
          </w:p>
        </w:tc>
        <w:tc>
          <w:tcPr>
            <w:tcW w:w="3119" w:type="dxa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6549" w:type="dxa"/>
            <w:shd w:val="clear" w:color="auto" w:fill="auto"/>
          </w:tcPr>
          <w:p w:rsidR="00F71DE0" w:rsidRPr="00EA0A3B" w:rsidRDefault="00F71DE0" w:rsidP="00881DFD">
            <w:pPr>
              <w:spacing w:after="0"/>
              <w:jc w:val="left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обеспечение исполнения договора в размере аванса, но не менее 5% (пяти процентов) от начальной (максимальной) це</w:t>
            </w:r>
            <w:bookmarkStart w:id="2" w:name="_GoBack"/>
            <w:bookmarkEnd w:id="2"/>
            <w:r w:rsidRPr="00EA0A3B">
              <w:rPr>
                <w:sz w:val="20"/>
                <w:szCs w:val="20"/>
              </w:rPr>
              <w:t xml:space="preserve">ны договора </w:t>
            </w:r>
          </w:p>
          <w:p w:rsidR="00F71DE0" w:rsidRPr="00EA0A3B" w:rsidRDefault="00F71DE0" w:rsidP="00881DFD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F71DE0" w:rsidRPr="00EA0A3B" w:rsidTr="00881DFD">
        <w:tc>
          <w:tcPr>
            <w:tcW w:w="284" w:type="dxa"/>
            <w:shd w:val="clear" w:color="auto" w:fill="auto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предусмотрено</w:t>
            </w:r>
          </w:p>
        </w:tc>
        <w:tc>
          <w:tcPr>
            <w:tcW w:w="1984" w:type="dxa"/>
            <w:shd w:val="clear" w:color="auto" w:fill="auto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предусмотрено</w:t>
            </w:r>
          </w:p>
        </w:tc>
        <w:tc>
          <w:tcPr>
            <w:tcW w:w="3119" w:type="dxa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6549" w:type="dxa"/>
            <w:shd w:val="clear" w:color="auto" w:fill="auto"/>
          </w:tcPr>
          <w:p w:rsidR="00F71DE0" w:rsidRPr="00EA0A3B" w:rsidRDefault="00F71DE0" w:rsidP="00881DFD">
            <w:pPr>
              <w:spacing w:after="0"/>
              <w:jc w:val="left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увеличенное от первоначально установленного обеспечения исполнения договора в 1,5 (полтора) раза, но не менее размера аванса</w:t>
            </w:r>
          </w:p>
          <w:p w:rsidR="00F71DE0" w:rsidRPr="00EA0A3B" w:rsidRDefault="00F71DE0" w:rsidP="00881DFD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F71DE0" w:rsidRPr="00EA0A3B" w:rsidTr="00881DFD">
        <w:trPr>
          <w:trHeight w:val="785"/>
        </w:trPr>
        <w:tc>
          <w:tcPr>
            <w:tcW w:w="284" w:type="dxa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6</w:t>
            </w:r>
          </w:p>
        </w:tc>
        <w:tc>
          <w:tcPr>
            <w:tcW w:w="2551" w:type="dxa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 xml:space="preserve">предусмотрено </w:t>
            </w:r>
          </w:p>
        </w:tc>
        <w:tc>
          <w:tcPr>
            <w:tcW w:w="1984" w:type="dxa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предусмотрено</w:t>
            </w:r>
          </w:p>
        </w:tc>
        <w:tc>
          <w:tcPr>
            <w:tcW w:w="3119" w:type="dxa"/>
          </w:tcPr>
          <w:p w:rsidR="00F71DE0" w:rsidRPr="00EA0A3B" w:rsidRDefault="00F71DE0" w:rsidP="00881DFD">
            <w:pPr>
              <w:spacing w:after="0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предусмотрено</w:t>
            </w:r>
          </w:p>
        </w:tc>
        <w:tc>
          <w:tcPr>
            <w:tcW w:w="6549" w:type="dxa"/>
          </w:tcPr>
          <w:p w:rsidR="00F71DE0" w:rsidRPr="00EA0A3B" w:rsidRDefault="00F71DE0" w:rsidP="00881DFD">
            <w:pPr>
              <w:spacing w:after="0"/>
              <w:jc w:val="left"/>
              <w:rPr>
                <w:sz w:val="20"/>
                <w:szCs w:val="20"/>
              </w:rPr>
            </w:pPr>
            <w:r w:rsidRPr="00EA0A3B">
              <w:rPr>
                <w:sz w:val="20"/>
                <w:szCs w:val="20"/>
              </w:rPr>
              <w:t>увеличенное от первоначально установленного обеспечения исполнения договора в 1,5 (полтора) раза, но не менее 5% (пяти процентов) от начальной (максимальной) цены договора</w:t>
            </w:r>
          </w:p>
        </w:tc>
      </w:tr>
    </w:tbl>
    <w:p w:rsidR="00F71DE0" w:rsidRPr="00EA0A3B" w:rsidRDefault="00F71DE0" w:rsidP="00F71DE0">
      <w:pPr>
        <w:pStyle w:val="3"/>
        <w:keepNext w:val="0"/>
        <w:widowControl w:val="0"/>
        <w:numPr>
          <w:ilvl w:val="0"/>
          <w:numId w:val="4"/>
        </w:numPr>
        <w:tabs>
          <w:tab w:val="clear" w:pos="432"/>
          <w:tab w:val="num" w:pos="0"/>
        </w:tabs>
        <w:spacing w:before="0" w:after="0"/>
        <w:ind w:left="0" w:firstLine="851"/>
        <w:rPr>
          <w:rFonts w:ascii="Times New Roman" w:hAnsi="Times New Roman" w:cs="Times New Roman"/>
          <w:b w:val="0"/>
        </w:rPr>
      </w:pPr>
      <w:bookmarkStart w:id="3" w:name="_Ref536099201"/>
      <w:bookmarkEnd w:id="1"/>
      <w:r w:rsidRPr="00EA0A3B">
        <w:rPr>
          <w:rFonts w:ascii="Times New Roman" w:hAnsi="Times New Roman" w:cs="Times New Roman"/>
          <w:b w:val="0"/>
        </w:rPr>
        <w:t>Обеспечение исполнения обязательств по договору может быть представлено в форме внесения денежных средств на счет Заказчика (обеспечительного платежа) или в форме независимой гарантии. Выбор способа обеспечения исполнения обязательств по договору осуществляется участником закупки самостоятельно. Предоставление обеспечения иным, не указанным в извещении и/или документации о закупке способом не допускается.</w:t>
      </w:r>
    </w:p>
    <w:p w:rsidR="00F71DE0" w:rsidRPr="00EA0A3B" w:rsidRDefault="00F71DE0" w:rsidP="00F71DE0">
      <w:pPr>
        <w:pStyle w:val="3"/>
        <w:keepNext w:val="0"/>
        <w:widowControl w:val="0"/>
        <w:numPr>
          <w:ilvl w:val="0"/>
          <w:numId w:val="4"/>
        </w:numPr>
        <w:tabs>
          <w:tab w:val="clear" w:pos="432"/>
          <w:tab w:val="num" w:pos="0"/>
        </w:tabs>
        <w:spacing w:before="0" w:after="0"/>
        <w:ind w:left="0" w:firstLine="851"/>
        <w:rPr>
          <w:rFonts w:ascii="Times New Roman" w:hAnsi="Times New Roman" w:cs="Times New Roman"/>
          <w:b w:val="0"/>
        </w:rPr>
      </w:pPr>
      <w:r w:rsidRPr="00EA0A3B">
        <w:rPr>
          <w:rFonts w:ascii="Times New Roman" w:hAnsi="Times New Roman" w:cs="Times New Roman"/>
          <w:b w:val="0"/>
        </w:rPr>
        <w:lastRenderedPageBreak/>
        <w:t xml:space="preserve">Обеспечение исполнения договора, предусмотренное в пункте 2, предоставляется на период исполнения обязательств по договору до момента подписания сторонами итоговых документов, подтверждающих исполнение участником закупки обязательств по выполнению работ/ оказанию услуг/поставке товаров в соответствии с условиями договора в полном объеме. </w:t>
      </w:r>
    </w:p>
    <w:p w:rsidR="00F71DE0" w:rsidRPr="00EA0A3B" w:rsidRDefault="00F71DE0" w:rsidP="00F71DE0">
      <w:pPr>
        <w:pStyle w:val="3"/>
        <w:keepNext w:val="0"/>
        <w:widowControl w:val="0"/>
        <w:numPr>
          <w:ilvl w:val="0"/>
          <w:numId w:val="4"/>
        </w:numPr>
        <w:tabs>
          <w:tab w:val="clear" w:pos="432"/>
          <w:tab w:val="num" w:pos="0"/>
        </w:tabs>
        <w:spacing w:before="0" w:after="0"/>
        <w:ind w:left="0" w:firstLine="851"/>
        <w:rPr>
          <w:rFonts w:ascii="Times New Roman" w:hAnsi="Times New Roman" w:cs="Times New Roman"/>
          <w:b w:val="0"/>
        </w:rPr>
      </w:pPr>
      <w:r w:rsidRPr="00EA0A3B">
        <w:rPr>
          <w:rFonts w:ascii="Times New Roman" w:hAnsi="Times New Roman" w:cs="Times New Roman"/>
          <w:b w:val="0"/>
        </w:rPr>
        <w:t xml:space="preserve">Срок действия независимой гарантии должен начинаться не позднее даты заключения договора и заканчиваться не ранее, чем через 60 дней после установленного договором срока исполнения обязательств по договору. </w:t>
      </w:r>
    </w:p>
    <w:p w:rsidR="00F71DE0" w:rsidRPr="00EA0A3B" w:rsidRDefault="00F71DE0" w:rsidP="00F71DE0">
      <w:pPr>
        <w:pStyle w:val="3"/>
        <w:keepNext w:val="0"/>
        <w:widowControl w:val="0"/>
        <w:numPr>
          <w:ilvl w:val="0"/>
          <w:numId w:val="4"/>
        </w:numPr>
        <w:tabs>
          <w:tab w:val="clear" w:pos="432"/>
          <w:tab w:val="num" w:pos="0"/>
        </w:tabs>
        <w:spacing w:before="0" w:after="0"/>
        <w:ind w:left="0" w:firstLine="851"/>
        <w:rPr>
          <w:rFonts w:ascii="Times New Roman" w:hAnsi="Times New Roman" w:cs="Times New Roman"/>
          <w:b w:val="0"/>
        </w:rPr>
      </w:pPr>
      <w:r w:rsidRPr="00EA0A3B">
        <w:rPr>
          <w:rFonts w:ascii="Times New Roman" w:hAnsi="Times New Roman" w:cs="Times New Roman"/>
          <w:b w:val="0"/>
        </w:rPr>
        <w:t>В случае принятия участником закупки решения о предоставлении обеспечение исполнения обязательств по договору, предусмотренного в пункте 2, в форме денежных средств (обеспечительного платежа), такие средства перечисляются на расчетный счет Заказчика,</w:t>
      </w:r>
      <w:bookmarkEnd w:id="3"/>
      <w:r w:rsidRPr="00EA0A3B">
        <w:rPr>
          <w:rFonts w:ascii="Times New Roman" w:hAnsi="Times New Roman" w:cs="Times New Roman"/>
          <w:b w:val="0"/>
        </w:rPr>
        <w:t xml:space="preserve"> указанный в извещении/или документации о закупке. В платежном поручении в графе «наименование платежа» необходимо указать «Обеспечение исполнения обязательств по договору (наименование), а также «НДС не облагается».</w:t>
      </w:r>
    </w:p>
    <w:p w:rsidR="00F71DE0" w:rsidRPr="00EA0A3B" w:rsidRDefault="00F71DE0" w:rsidP="00F71DE0">
      <w:pPr>
        <w:pStyle w:val="3"/>
        <w:keepNext w:val="0"/>
        <w:widowControl w:val="0"/>
        <w:numPr>
          <w:ilvl w:val="0"/>
          <w:numId w:val="4"/>
        </w:numPr>
        <w:tabs>
          <w:tab w:val="clear" w:pos="432"/>
          <w:tab w:val="num" w:pos="0"/>
        </w:tabs>
        <w:spacing w:before="0" w:after="0"/>
        <w:ind w:left="0" w:firstLine="851"/>
        <w:rPr>
          <w:rFonts w:ascii="Times New Roman" w:hAnsi="Times New Roman" w:cs="Times New Roman"/>
          <w:b w:val="0"/>
        </w:rPr>
      </w:pPr>
      <w:r w:rsidRPr="00EA0A3B">
        <w:rPr>
          <w:rFonts w:ascii="Times New Roman" w:hAnsi="Times New Roman" w:cs="Times New Roman"/>
          <w:b w:val="0"/>
        </w:rPr>
        <w:t>В случае принятия решения о предоставлении обеспечения исполнения обязательств по договору, предусмотренного в пункте 2, в форме независимой гарантии, такая гарантия, а также гарант должны соответствовать требованиям, установленным в извещении и/или документации о закупке к форме независимой гарантии, а также к гарантам.</w:t>
      </w:r>
    </w:p>
    <w:p w:rsidR="00F71DE0" w:rsidRPr="00E215FB" w:rsidRDefault="00F71DE0" w:rsidP="00F71DE0">
      <w:pPr>
        <w:rPr>
          <w:b/>
        </w:rPr>
      </w:pPr>
      <w:r w:rsidRPr="00EA0A3B">
        <w:t>В случае продления срока выполнения обязательств по договору, обеспечение, предоставленное контрагентом, должно соответствовать требованиям, установленным в ОРД Заказчика, регламентирующим порядок работы с обеспечением.</w:t>
      </w:r>
      <w:r>
        <w:t xml:space="preserve"> </w:t>
      </w:r>
    </w:p>
    <w:p w:rsidR="00F71DE0" w:rsidRPr="00525C9F" w:rsidRDefault="00F71DE0" w:rsidP="00F71DE0"/>
    <w:p w:rsidR="00B646E9" w:rsidRPr="00F71DE0" w:rsidRDefault="00B646E9" w:rsidP="00F71DE0"/>
    <w:sectPr w:rsidR="00B646E9" w:rsidRPr="00F71DE0" w:rsidSect="00F71DE0">
      <w:headerReference w:type="default" r:id="rId7"/>
      <w:pgSz w:w="16838" w:h="11906" w:orient="landscape" w:code="9"/>
      <w:pgMar w:top="993" w:right="851" w:bottom="85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EDC" w:rsidRDefault="00EB6EDC">
      <w:pPr>
        <w:spacing w:after="0"/>
      </w:pPr>
      <w:r>
        <w:separator/>
      </w:r>
    </w:p>
  </w:endnote>
  <w:endnote w:type="continuationSeparator" w:id="0">
    <w:p w:rsidR="00EB6EDC" w:rsidRDefault="00EB6E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EDC" w:rsidRDefault="00EB6EDC">
      <w:pPr>
        <w:spacing w:after="0"/>
      </w:pPr>
      <w:r>
        <w:separator/>
      </w:r>
    </w:p>
  </w:footnote>
  <w:footnote w:type="continuationSeparator" w:id="0">
    <w:p w:rsidR="00EB6EDC" w:rsidRDefault="00EB6ED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77" w:rsidRDefault="00B646E9">
    <w:pPr>
      <w:pStyle w:val="a7"/>
      <w:jc w:val="center"/>
    </w:pPr>
    <w:r>
      <w:t>2</w:t>
    </w:r>
  </w:p>
  <w:p w:rsidR="00766439" w:rsidRDefault="00EB6ED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E62A58A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A620F8"/>
    <w:rsid w:val="00B646E9"/>
    <w:rsid w:val="00BF1415"/>
    <w:rsid w:val="00D40E3E"/>
    <w:rsid w:val="00D44112"/>
    <w:rsid w:val="00DD1B65"/>
    <w:rsid w:val="00EB6EDC"/>
    <w:rsid w:val="00EE3A08"/>
    <w:rsid w:val="00F7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657EE5-7583-4D50-895D-F8C49CD0E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DE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71DE0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/>
    </w:p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9"/>
    <w:rsid w:val="00F71DE0"/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Циркова Людмила Валерьевна</cp:lastModifiedBy>
  <cp:revision>5</cp:revision>
  <dcterms:created xsi:type="dcterms:W3CDTF">2019-06-28T08:04:00Z</dcterms:created>
  <dcterms:modified xsi:type="dcterms:W3CDTF">2024-10-30T04:33:00Z</dcterms:modified>
</cp:coreProperties>
</file>